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176D" w14:textId="77777777" w:rsidR="00AB0394" w:rsidRPr="00AB0394" w:rsidRDefault="006D416E" w:rsidP="00AB0394">
      <w:pPr>
        <w:jc w:val="center"/>
        <w:rPr>
          <w:b/>
          <w:iCs/>
          <w:sz w:val="20"/>
          <w:szCs w:val="20"/>
          <w:u w:val="single"/>
          <w:lang w:val="es-CR"/>
        </w:rPr>
      </w:pPr>
      <w:r w:rsidRPr="00AB0394">
        <w:rPr>
          <w:b/>
          <w:iCs/>
          <w:sz w:val="20"/>
          <w:szCs w:val="20"/>
          <w:u w:val="single"/>
          <w:lang w:val="es-CR"/>
        </w:rPr>
        <w:t xml:space="preserve">Caso </w:t>
      </w:r>
      <w:r w:rsidR="00AB0394" w:rsidRPr="00AB0394">
        <w:rPr>
          <w:b/>
          <w:iCs/>
          <w:sz w:val="20"/>
          <w:szCs w:val="20"/>
          <w:u w:val="single"/>
          <w:lang w:val="es-CR"/>
        </w:rPr>
        <w:t>Tzompaxtle Tecpile y otros</w:t>
      </w:r>
      <w:r w:rsidRPr="00AB0394">
        <w:rPr>
          <w:b/>
          <w:iCs/>
          <w:sz w:val="20"/>
          <w:szCs w:val="20"/>
          <w:u w:val="single"/>
          <w:lang w:val="es-CR"/>
        </w:rPr>
        <w:t xml:space="preserve"> </w:t>
      </w:r>
      <w:r w:rsidRPr="00AB0394">
        <w:rPr>
          <w:b/>
          <w:i/>
          <w:sz w:val="20"/>
          <w:szCs w:val="20"/>
          <w:u w:val="single"/>
          <w:lang w:val="es-CR"/>
        </w:rPr>
        <w:t>Vs</w:t>
      </w:r>
      <w:r w:rsidRPr="00AB0394">
        <w:rPr>
          <w:b/>
          <w:iCs/>
          <w:sz w:val="20"/>
          <w:szCs w:val="20"/>
          <w:u w:val="single"/>
          <w:lang w:val="es-CR"/>
        </w:rPr>
        <w:t xml:space="preserve">. </w:t>
      </w:r>
      <w:r w:rsidR="00AB0394" w:rsidRPr="00AB0394">
        <w:rPr>
          <w:b/>
          <w:iCs/>
          <w:sz w:val="20"/>
          <w:szCs w:val="20"/>
          <w:u w:val="single"/>
          <w:lang w:val="es-CR"/>
        </w:rPr>
        <w:t>México</w:t>
      </w:r>
      <w:r w:rsidRPr="00AB0394">
        <w:rPr>
          <w:b/>
          <w:iCs/>
          <w:sz w:val="20"/>
          <w:szCs w:val="20"/>
          <w:u w:val="single"/>
          <w:lang w:val="es-CR"/>
        </w:rPr>
        <w:t>:</w:t>
      </w:r>
      <w:r w:rsidR="00AB0394" w:rsidRPr="00AB0394">
        <w:rPr>
          <w:b/>
          <w:iCs/>
          <w:sz w:val="20"/>
          <w:szCs w:val="20"/>
          <w:u w:val="single"/>
          <w:lang w:val="es-CR"/>
        </w:rPr>
        <w:t xml:space="preserve"> </w:t>
      </w:r>
    </w:p>
    <w:p w14:paraId="5D694E86" w14:textId="76218E61" w:rsidR="00214AB7" w:rsidRPr="00AB0394" w:rsidRDefault="00214AB7" w:rsidP="00AB0394">
      <w:pPr>
        <w:jc w:val="center"/>
        <w:rPr>
          <w:b/>
          <w:i/>
          <w:sz w:val="20"/>
          <w:szCs w:val="20"/>
          <w:u w:val="single"/>
          <w:lang w:val="es-CR"/>
        </w:rPr>
      </w:pPr>
      <w:r w:rsidRPr="00EA0D60">
        <w:rPr>
          <w:b/>
          <w:sz w:val="20"/>
          <w:szCs w:val="20"/>
          <w:u w:val="single"/>
          <w:lang w:val="es-CR"/>
        </w:rPr>
        <w:t xml:space="preserve">reparaciones </w:t>
      </w:r>
      <w:r>
        <w:rPr>
          <w:b/>
          <w:sz w:val="20"/>
          <w:szCs w:val="20"/>
          <w:u w:val="single"/>
          <w:lang w:val="es-CR"/>
        </w:rPr>
        <w:t>pendientes de cumplimiento</w:t>
      </w:r>
    </w:p>
    <w:p w14:paraId="2BF65A79" w14:textId="77777777" w:rsidR="00296F77" w:rsidRDefault="00296F77" w:rsidP="00296F77">
      <w:pPr>
        <w:tabs>
          <w:tab w:val="left" w:pos="709"/>
        </w:tabs>
        <w:ind w:right="99"/>
        <w:jc w:val="both"/>
      </w:pPr>
    </w:p>
    <w:p w14:paraId="24F9AE19" w14:textId="77777777" w:rsidR="00214AB7" w:rsidRDefault="00214AB7" w:rsidP="00296F77">
      <w:pPr>
        <w:tabs>
          <w:tab w:val="left" w:pos="709"/>
        </w:tabs>
        <w:ind w:right="99"/>
        <w:jc w:val="both"/>
      </w:pPr>
    </w:p>
    <w:p w14:paraId="4717AB24" w14:textId="4C9C859E" w:rsidR="00AB0394" w:rsidRPr="00AB0394" w:rsidRDefault="00AB0394" w:rsidP="003E2FF4">
      <w:pPr>
        <w:jc w:val="both"/>
        <w:rPr>
          <w:sz w:val="20"/>
          <w:szCs w:val="28"/>
        </w:rPr>
      </w:pPr>
      <w:r>
        <w:rPr>
          <w:sz w:val="20"/>
          <w:szCs w:val="28"/>
        </w:rPr>
        <w:t>1</w:t>
      </w:r>
      <w:r w:rsidRPr="00AB0394">
        <w:rPr>
          <w:sz w:val="20"/>
          <w:szCs w:val="28"/>
        </w:rPr>
        <w:t xml:space="preserve">. </w:t>
      </w:r>
      <w:r>
        <w:rPr>
          <w:sz w:val="20"/>
          <w:szCs w:val="28"/>
        </w:rPr>
        <w:tab/>
      </w:r>
      <w:r w:rsidRPr="00AB0394">
        <w:rPr>
          <w:sz w:val="20"/>
          <w:szCs w:val="28"/>
        </w:rPr>
        <w:t>El Estado deberá dejar sin efecto en su ordenamiento interno las disposiciones relativas al arraigo de naturaleza pre – procesal, en los términos de los párrafos 210, 211, 214 a 216, y 218 a 219 de la Sentencia.</w:t>
      </w:r>
    </w:p>
    <w:p w14:paraId="079E2C62" w14:textId="77777777" w:rsidR="00AB0394" w:rsidRPr="00AB0394" w:rsidRDefault="00AB0394" w:rsidP="003E2FF4">
      <w:pPr>
        <w:jc w:val="both"/>
        <w:rPr>
          <w:sz w:val="20"/>
          <w:szCs w:val="28"/>
        </w:rPr>
      </w:pPr>
    </w:p>
    <w:p w14:paraId="1CE816D7" w14:textId="2BBED8B0" w:rsidR="00AB0394" w:rsidRPr="00AB0394" w:rsidRDefault="00AB0394" w:rsidP="003E2FF4">
      <w:pPr>
        <w:jc w:val="both"/>
        <w:rPr>
          <w:sz w:val="20"/>
          <w:szCs w:val="28"/>
        </w:rPr>
      </w:pPr>
      <w:r>
        <w:rPr>
          <w:sz w:val="20"/>
          <w:szCs w:val="28"/>
        </w:rPr>
        <w:t>2</w:t>
      </w:r>
      <w:r w:rsidRPr="00AB0394">
        <w:rPr>
          <w:sz w:val="20"/>
          <w:szCs w:val="28"/>
        </w:rPr>
        <w:t xml:space="preserve">. </w:t>
      </w:r>
      <w:r>
        <w:rPr>
          <w:sz w:val="20"/>
          <w:szCs w:val="28"/>
        </w:rPr>
        <w:tab/>
      </w:r>
      <w:r w:rsidRPr="00AB0394">
        <w:rPr>
          <w:sz w:val="20"/>
          <w:szCs w:val="28"/>
        </w:rPr>
        <w:t xml:space="preserve">El Estado deberá adecuar su ordenamiento jurídico interno sobre prisión preventiva, en los términos de los párrafos 212, 213, y 217 a 219 de la Sentencia. </w:t>
      </w:r>
    </w:p>
    <w:p w14:paraId="1E82349E" w14:textId="77777777" w:rsidR="00AB0394" w:rsidRPr="00AB0394" w:rsidRDefault="00AB0394" w:rsidP="003E2FF4">
      <w:pPr>
        <w:jc w:val="both"/>
        <w:rPr>
          <w:sz w:val="20"/>
          <w:szCs w:val="28"/>
        </w:rPr>
      </w:pPr>
    </w:p>
    <w:p w14:paraId="3E247878" w14:textId="1E955186" w:rsidR="009A75DB" w:rsidRPr="00AB0394" w:rsidRDefault="00AB0394" w:rsidP="009A75DB">
      <w:pPr>
        <w:jc w:val="both"/>
        <w:rPr>
          <w:sz w:val="20"/>
          <w:szCs w:val="28"/>
        </w:rPr>
      </w:pPr>
      <w:r>
        <w:rPr>
          <w:sz w:val="20"/>
          <w:szCs w:val="28"/>
        </w:rPr>
        <w:t>3</w:t>
      </w:r>
      <w:r w:rsidRPr="00AB0394">
        <w:rPr>
          <w:sz w:val="20"/>
          <w:szCs w:val="28"/>
        </w:rPr>
        <w:t xml:space="preserve">. </w:t>
      </w:r>
      <w:r>
        <w:rPr>
          <w:sz w:val="20"/>
          <w:szCs w:val="28"/>
        </w:rPr>
        <w:tab/>
      </w:r>
    </w:p>
    <w:p w14:paraId="1A005869" w14:textId="21503727" w:rsidR="00AB0394" w:rsidRPr="00AB0394" w:rsidRDefault="00AB0394" w:rsidP="003E2FF4">
      <w:pPr>
        <w:jc w:val="both"/>
        <w:rPr>
          <w:sz w:val="20"/>
          <w:szCs w:val="28"/>
        </w:rPr>
      </w:pPr>
      <w:r w:rsidRPr="00AB0394">
        <w:rPr>
          <w:sz w:val="20"/>
          <w:szCs w:val="28"/>
        </w:rPr>
        <w:t xml:space="preserve">El Estado realizará un acto público de reconocimiento de responsabilidad internacional, en relación con los hechos de este caso, en los términos de los párrafos 225 y 226 de </w:t>
      </w:r>
      <w:r>
        <w:rPr>
          <w:sz w:val="20"/>
          <w:szCs w:val="28"/>
        </w:rPr>
        <w:t>la</w:t>
      </w:r>
      <w:r w:rsidRPr="00AB0394">
        <w:rPr>
          <w:sz w:val="20"/>
          <w:szCs w:val="28"/>
        </w:rPr>
        <w:t xml:space="preserve"> Sentencia. </w:t>
      </w:r>
    </w:p>
    <w:p w14:paraId="03E785A1" w14:textId="77777777" w:rsidR="00AB0394" w:rsidRPr="00AB0394" w:rsidRDefault="00AB0394" w:rsidP="003E2FF4">
      <w:pPr>
        <w:jc w:val="both"/>
        <w:rPr>
          <w:sz w:val="20"/>
          <w:szCs w:val="28"/>
        </w:rPr>
      </w:pPr>
    </w:p>
    <w:p w14:paraId="2A582CD3" w14:textId="206C48AB" w:rsidR="00AB0394" w:rsidRPr="00AB0394" w:rsidRDefault="009A75DB" w:rsidP="003E2FF4">
      <w:pPr>
        <w:jc w:val="both"/>
        <w:rPr>
          <w:sz w:val="20"/>
          <w:szCs w:val="28"/>
        </w:rPr>
      </w:pPr>
      <w:r>
        <w:rPr>
          <w:sz w:val="20"/>
          <w:szCs w:val="28"/>
        </w:rPr>
        <w:t>4</w:t>
      </w:r>
      <w:r w:rsidR="00AB0394" w:rsidRPr="00AB0394">
        <w:rPr>
          <w:sz w:val="20"/>
          <w:szCs w:val="28"/>
        </w:rPr>
        <w:t xml:space="preserve">. </w:t>
      </w:r>
      <w:r w:rsidR="00AB0394">
        <w:rPr>
          <w:sz w:val="20"/>
          <w:szCs w:val="28"/>
        </w:rPr>
        <w:tab/>
      </w:r>
      <w:r w:rsidR="00AB0394" w:rsidRPr="00AB0394">
        <w:rPr>
          <w:sz w:val="20"/>
          <w:szCs w:val="28"/>
        </w:rPr>
        <w:t xml:space="preserve">El Estado brindará de forma adecuada, preferencial y gratuita, el tratamiento médico, psicológico o psiquiátrico, según corresponda, de conformidad con lo establecido en el párrafo 240 de la Sentencia. </w:t>
      </w:r>
    </w:p>
    <w:p w14:paraId="3B7B293D" w14:textId="77777777" w:rsidR="00AB0394" w:rsidRPr="00AB0394" w:rsidRDefault="00AB0394" w:rsidP="003E2FF4">
      <w:pPr>
        <w:jc w:val="both"/>
        <w:rPr>
          <w:sz w:val="20"/>
          <w:szCs w:val="28"/>
        </w:rPr>
      </w:pPr>
    </w:p>
    <w:p w14:paraId="5130F49E" w14:textId="00BDF87E" w:rsidR="00B7153D" w:rsidRDefault="009A75DB" w:rsidP="00B7153D">
      <w:pPr>
        <w:jc w:val="both"/>
        <w:rPr>
          <w:sz w:val="20"/>
          <w:szCs w:val="28"/>
        </w:rPr>
      </w:pPr>
      <w:r>
        <w:rPr>
          <w:sz w:val="20"/>
          <w:szCs w:val="28"/>
        </w:rPr>
        <w:t>5</w:t>
      </w:r>
      <w:r w:rsidR="00AB0394" w:rsidRPr="00AB0394">
        <w:rPr>
          <w:sz w:val="20"/>
          <w:szCs w:val="28"/>
        </w:rPr>
        <w:t xml:space="preserve">. </w:t>
      </w:r>
      <w:r w:rsidR="00AB0394">
        <w:rPr>
          <w:sz w:val="20"/>
          <w:szCs w:val="28"/>
        </w:rPr>
        <w:tab/>
      </w:r>
      <w:r w:rsidR="00B7153D" w:rsidRPr="00AB0394">
        <w:rPr>
          <w:sz w:val="20"/>
          <w:szCs w:val="28"/>
        </w:rPr>
        <w:t xml:space="preserve">El Estado pagará las cantidades fijadas en la Sentencia para becas educativas, en los términos de los párrafos 230, 231, y 251 de la misma. </w:t>
      </w:r>
    </w:p>
    <w:p w14:paraId="6ED08952" w14:textId="77777777" w:rsidR="00B7153D" w:rsidRDefault="00B7153D" w:rsidP="003E2FF4">
      <w:pPr>
        <w:jc w:val="both"/>
        <w:rPr>
          <w:sz w:val="20"/>
          <w:szCs w:val="28"/>
        </w:rPr>
      </w:pPr>
    </w:p>
    <w:p w14:paraId="1EC195C2" w14:textId="6AE8DF9D" w:rsidR="009A75DB" w:rsidRPr="00E3509D" w:rsidRDefault="009A75DB" w:rsidP="003E2FF4">
      <w:pPr>
        <w:jc w:val="both"/>
        <w:rPr>
          <w:b/>
          <w:bCs/>
          <w:sz w:val="20"/>
          <w:szCs w:val="28"/>
        </w:rPr>
      </w:pPr>
      <w:r w:rsidRPr="00E3509D">
        <w:rPr>
          <w:b/>
          <w:bCs/>
          <w:sz w:val="20"/>
          <w:szCs w:val="28"/>
        </w:rPr>
        <w:t>Cumplimiento parcial:</w:t>
      </w:r>
    </w:p>
    <w:p w14:paraId="523C968B" w14:textId="77777777" w:rsidR="00AB0394" w:rsidRPr="00AB0394" w:rsidRDefault="00AB0394" w:rsidP="003E2FF4">
      <w:pPr>
        <w:jc w:val="both"/>
        <w:rPr>
          <w:sz w:val="20"/>
          <w:szCs w:val="28"/>
        </w:rPr>
      </w:pPr>
    </w:p>
    <w:p w14:paraId="06A8E3AF" w14:textId="7E42EA0D" w:rsidR="009A75DB" w:rsidRPr="00AB0394" w:rsidRDefault="009A75DB" w:rsidP="009A75DB">
      <w:pPr>
        <w:jc w:val="both"/>
        <w:rPr>
          <w:sz w:val="20"/>
          <w:szCs w:val="28"/>
        </w:rPr>
      </w:pPr>
      <w:r>
        <w:rPr>
          <w:sz w:val="20"/>
          <w:szCs w:val="28"/>
        </w:rPr>
        <w:t>6.</w:t>
      </w:r>
      <w:r>
        <w:rPr>
          <w:sz w:val="20"/>
          <w:szCs w:val="28"/>
        </w:rPr>
        <w:tab/>
      </w:r>
      <w:r w:rsidRPr="00AB0394">
        <w:rPr>
          <w:sz w:val="20"/>
          <w:szCs w:val="28"/>
        </w:rPr>
        <w:t xml:space="preserve">El Estado realizará las publicaciones indicadas en el párrafo 222 de </w:t>
      </w:r>
      <w:r>
        <w:rPr>
          <w:sz w:val="20"/>
          <w:szCs w:val="28"/>
        </w:rPr>
        <w:t>la</w:t>
      </w:r>
      <w:r w:rsidRPr="00AB0394">
        <w:rPr>
          <w:sz w:val="20"/>
          <w:szCs w:val="28"/>
        </w:rPr>
        <w:t xml:space="preserve"> Sentencia, en el plazo de seis meses contados a partir de la notificación de </w:t>
      </w:r>
      <w:proofErr w:type="gramStart"/>
      <w:r w:rsidRPr="00AB0394">
        <w:rPr>
          <w:sz w:val="20"/>
          <w:szCs w:val="28"/>
        </w:rPr>
        <w:t>la misma</w:t>
      </w:r>
      <w:proofErr w:type="gramEnd"/>
      <w:r w:rsidRPr="00AB0394">
        <w:rPr>
          <w:sz w:val="20"/>
          <w:szCs w:val="28"/>
        </w:rPr>
        <w:t xml:space="preserve">. </w:t>
      </w:r>
    </w:p>
    <w:p w14:paraId="18336ACC" w14:textId="77777777" w:rsidR="009A75DB" w:rsidRPr="00AB0394" w:rsidRDefault="009A75DB" w:rsidP="009A75DB">
      <w:pPr>
        <w:jc w:val="both"/>
        <w:rPr>
          <w:sz w:val="20"/>
          <w:szCs w:val="28"/>
        </w:rPr>
      </w:pPr>
    </w:p>
    <w:p w14:paraId="3E4ECA81" w14:textId="38F74B25" w:rsidR="004268A4" w:rsidRDefault="004268A4" w:rsidP="004268A4">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el Considerando </w:t>
      </w:r>
      <w:r>
        <w:rPr>
          <w:rFonts w:eastAsia="Cambria" w:cs="Times New Roman"/>
          <w:bCs/>
          <w:sz w:val="20"/>
          <w:szCs w:val="20"/>
          <w:lang w:val="es-ES"/>
        </w:rPr>
        <w:t>2</w:t>
      </w:r>
      <w:r>
        <w:rPr>
          <w:rFonts w:eastAsia="Cambria" w:cs="Times New Roman"/>
          <w:bCs/>
          <w:sz w:val="20"/>
          <w:szCs w:val="20"/>
          <w:lang w:val="es-ES"/>
        </w:rPr>
        <w:t xml:space="preserve"> de la Resolución de </w:t>
      </w:r>
      <w:r>
        <w:rPr>
          <w:rFonts w:eastAsia="Cambria" w:cs="Times New Roman"/>
          <w:bCs/>
          <w:sz w:val="20"/>
          <w:szCs w:val="20"/>
          <w:lang w:val="es-ES"/>
        </w:rPr>
        <w:t>26 de noviembre</w:t>
      </w:r>
      <w:r>
        <w:rPr>
          <w:rFonts w:eastAsia="Cambria" w:cs="Times New Roman"/>
          <w:bCs/>
          <w:sz w:val="20"/>
          <w:szCs w:val="20"/>
          <w:lang w:val="es-ES"/>
        </w:rPr>
        <w:t xml:space="preserve"> de 2024, se explica </w:t>
      </w:r>
      <w:r w:rsidRPr="00AA6B2F">
        <w:rPr>
          <w:rFonts w:eastAsia="Cambria" w:cs="Times New Roman"/>
          <w:bCs/>
          <w:sz w:val="20"/>
          <w:szCs w:val="20"/>
          <w:lang w:val="es-ES"/>
        </w:rPr>
        <w:t>lo que continúa pendiente de cumplimiento respecto a la presente medida de reparación:</w:t>
      </w:r>
    </w:p>
    <w:p w14:paraId="2CABE6DC" w14:textId="62E7111E" w:rsidR="00D3440D" w:rsidRDefault="00D3440D" w:rsidP="009A75DB">
      <w:pPr>
        <w:jc w:val="both"/>
        <w:rPr>
          <w:sz w:val="24"/>
          <w:lang w:val="es-ES"/>
        </w:rPr>
      </w:pPr>
    </w:p>
    <w:p w14:paraId="6BF15F79" w14:textId="7A080FE8" w:rsidR="004268A4" w:rsidRPr="00291408" w:rsidRDefault="004268A4" w:rsidP="00291408">
      <w:pPr>
        <w:ind w:left="720"/>
        <w:jc w:val="both"/>
        <w:rPr>
          <w:sz w:val="18"/>
          <w:szCs w:val="18"/>
          <w:lang w:val="es-ES"/>
        </w:rPr>
      </w:pPr>
      <w:r w:rsidRPr="00291408">
        <w:rPr>
          <w:sz w:val="18"/>
          <w:szCs w:val="18"/>
        </w:rPr>
        <w:t>2. Con base en la información y los comprobantes aportados por el Estado y lo observado por los representantes, la Corte considera que México ha dado cumplimiento parcial a las medidas relativas a la publicación y difusión de la Sentencia y su resumen oficial, ordenadas en el punto resolutivo noveno y en el párrafo 222 de la misma, ya que se ha constatado que publicó: a) el resumen oficial de la Sentencia, por una sola vez, en el Semanario Judicial de la Federación y su Gaceta ; b) el resumen oficial de la Sentencia, por una sola vez, en el diario de amplia circulación nacional “La Jornada”, y</w:t>
      </w:r>
      <w:r w:rsidR="00291408" w:rsidRPr="00291408">
        <w:rPr>
          <w:sz w:val="18"/>
          <w:szCs w:val="18"/>
        </w:rPr>
        <w:t xml:space="preserve"> </w:t>
      </w:r>
      <w:r w:rsidR="00291408" w:rsidRPr="00291408">
        <w:rPr>
          <w:sz w:val="18"/>
          <w:szCs w:val="18"/>
        </w:rPr>
        <w:t>c) el texto íntegro del Fallo en un sitio web oficial del Gobierno del Estado de México , la cual, según lo dispuesto en el referido párrafo, debía mantenerse “disponible por un período de un año</w:t>
      </w:r>
      <w:r w:rsidR="008C303C">
        <w:rPr>
          <w:sz w:val="18"/>
          <w:szCs w:val="18"/>
        </w:rPr>
        <w:t>”</w:t>
      </w:r>
      <w:r w:rsidR="00291408" w:rsidRPr="00291408">
        <w:rPr>
          <w:sz w:val="18"/>
          <w:szCs w:val="18"/>
        </w:rPr>
        <w:t xml:space="preserve"> . El Tribunal valora positivamente que las publicaciones del resumen oficial de la Sentencia en el Semanario Judicial de la Federación y en su Gaceta, así como de su texto completo en el sitio web oficial del Gobierno, fueron realizadas dentro del plazo de seis meses, contado a partir de la notificación de la Sentencia, que fue otorgado en la misma. Únicamente se encuentra pendiente la publicación del resumen oficial de la Sentencia, por una sola vez, en el Diario Oficial. Tomando en cuenta que el plazo de cumplimiento de esta publicación venció el 31 de julio de 2023, este Tribunal requiere al Estado dar pronto cumplimiento a este extremo de la medida.</w:t>
      </w:r>
    </w:p>
    <w:sectPr w:rsidR="004268A4" w:rsidRPr="002914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17B4" w14:textId="77777777" w:rsidR="00885012" w:rsidRDefault="00885012" w:rsidP="009F7EF4">
      <w:r>
        <w:separator/>
      </w:r>
    </w:p>
  </w:endnote>
  <w:endnote w:type="continuationSeparator" w:id="0">
    <w:p w14:paraId="6717F02D" w14:textId="77777777" w:rsidR="00885012" w:rsidRDefault="00885012"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26B5"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E18DEE6"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A219" w14:textId="77777777" w:rsidR="00885012" w:rsidRDefault="00885012" w:rsidP="009F7EF4">
      <w:r>
        <w:separator/>
      </w:r>
    </w:p>
  </w:footnote>
  <w:footnote w:type="continuationSeparator" w:id="0">
    <w:p w14:paraId="2C00C3D4" w14:textId="77777777" w:rsidR="00885012" w:rsidRDefault="00885012"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2EFB09E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B31A2C">
          <w:rPr>
            <w:noProof/>
            <w:sz w:val="20"/>
            <w:szCs w:val="20"/>
          </w:rPr>
          <w:t>1</w:t>
        </w:r>
        <w:r w:rsidRPr="00675FE7">
          <w:rPr>
            <w:noProof/>
            <w:sz w:val="20"/>
            <w:szCs w:val="20"/>
          </w:rPr>
          <w:fldChar w:fldCharType="end"/>
        </w:r>
      </w:p>
    </w:sdtContent>
  </w:sdt>
  <w:p w14:paraId="6FB892E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840519">
    <w:abstractNumId w:val="8"/>
  </w:num>
  <w:num w:numId="2" w16cid:durableId="1592621440">
    <w:abstractNumId w:val="3"/>
  </w:num>
  <w:num w:numId="3" w16cid:durableId="400325903">
    <w:abstractNumId w:val="6"/>
  </w:num>
  <w:num w:numId="4" w16cid:durableId="1402823325">
    <w:abstractNumId w:val="1"/>
  </w:num>
  <w:num w:numId="5" w16cid:durableId="144712729">
    <w:abstractNumId w:val="2"/>
  </w:num>
  <w:num w:numId="6" w16cid:durableId="251592937">
    <w:abstractNumId w:val="4"/>
  </w:num>
  <w:num w:numId="7" w16cid:durableId="635138225">
    <w:abstractNumId w:val="5"/>
  </w:num>
  <w:num w:numId="8" w16cid:durableId="10569278">
    <w:abstractNumId w:val="7"/>
  </w:num>
  <w:num w:numId="9" w16cid:durableId="158252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20D69"/>
    <w:rsid w:val="001426AA"/>
    <w:rsid w:val="0017056A"/>
    <w:rsid w:val="001729AE"/>
    <w:rsid w:val="001F3394"/>
    <w:rsid w:val="00214AB7"/>
    <w:rsid w:val="00291408"/>
    <w:rsid w:val="00296F77"/>
    <w:rsid w:val="002B3295"/>
    <w:rsid w:val="002E376C"/>
    <w:rsid w:val="002E5054"/>
    <w:rsid w:val="003A7E5E"/>
    <w:rsid w:val="003B49BE"/>
    <w:rsid w:val="003C561A"/>
    <w:rsid w:val="003E2FF4"/>
    <w:rsid w:val="004268A4"/>
    <w:rsid w:val="00474D04"/>
    <w:rsid w:val="00475C11"/>
    <w:rsid w:val="00476F6E"/>
    <w:rsid w:val="005A203D"/>
    <w:rsid w:val="005D1A85"/>
    <w:rsid w:val="00617B3E"/>
    <w:rsid w:val="006A777A"/>
    <w:rsid w:val="006C38A6"/>
    <w:rsid w:val="006D416E"/>
    <w:rsid w:val="00792165"/>
    <w:rsid w:val="00834F1A"/>
    <w:rsid w:val="00876E46"/>
    <w:rsid w:val="00885012"/>
    <w:rsid w:val="008C303C"/>
    <w:rsid w:val="00926FFB"/>
    <w:rsid w:val="009709F7"/>
    <w:rsid w:val="009832C0"/>
    <w:rsid w:val="009A75DB"/>
    <w:rsid w:val="009D22BE"/>
    <w:rsid w:val="009D6A26"/>
    <w:rsid w:val="009F7EF4"/>
    <w:rsid w:val="00A1649A"/>
    <w:rsid w:val="00A65986"/>
    <w:rsid w:val="00AA6B2F"/>
    <w:rsid w:val="00AB0394"/>
    <w:rsid w:val="00AD6B9F"/>
    <w:rsid w:val="00AE0035"/>
    <w:rsid w:val="00B000AD"/>
    <w:rsid w:val="00B11B9B"/>
    <w:rsid w:val="00B31A2C"/>
    <w:rsid w:val="00B32A37"/>
    <w:rsid w:val="00B33305"/>
    <w:rsid w:val="00B7153D"/>
    <w:rsid w:val="00B95914"/>
    <w:rsid w:val="00BA6BA9"/>
    <w:rsid w:val="00BC5824"/>
    <w:rsid w:val="00C32096"/>
    <w:rsid w:val="00C4747D"/>
    <w:rsid w:val="00C66067"/>
    <w:rsid w:val="00C807CF"/>
    <w:rsid w:val="00C946DA"/>
    <w:rsid w:val="00CF6BA9"/>
    <w:rsid w:val="00D3440D"/>
    <w:rsid w:val="00E3509D"/>
    <w:rsid w:val="00E42392"/>
    <w:rsid w:val="00E50670"/>
    <w:rsid w:val="00E61A2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6DB3"/>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3D"/>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434</Words>
  <Characters>2392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31</cp:revision>
  <cp:lastPrinted>2021-08-18T16:02:00Z</cp:lastPrinted>
  <dcterms:created xsi:type="dcterms:W3CDTF">2018-07-09T19:23:00Z</dcterms:created>
  <dcterms:modified xsi:type="dcterms:W3CDTF">2025-01-07T18:06:00Z</dcterms:modified>
</cp:coreProperties>
</file>